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Ростовская область </w:t>
      </w:r>
    </w:p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</w:rPr>
        <w:t>. Усть-Донецкий</w:t>
      </w:r>
    </w:p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-Донецкая средняя общеобразовательная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left="4248"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861A9F">
      <w:pPr>
        <w:spacing w:after="0"/>
        <w:ind w:left="4956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«Утверждено»</w:t>
      </w:r>
    </w:p>
    <w:p w:rsidR="005B3B2D" w:rsidRDefault="00861A9F">
      <w:pPr>
        <w:spacing w:after="0"/>
        <w:ind w:left="4956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директора МБОУ УДСОШ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</w:p>
    <w:p w:rsidR="005B3B2D" w:rsidRDefault="00861A9F">
      <w:pPr>
        <w:spacing w:after="0"/>
        <w:ind w:left="4956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5B3B2D" w:rsidRDefault="00861A9F">
      <w:pPr>
        <w:spacing w:after="0"/>
        <w:ind w:left="4956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__________Н.Д. Кудина</w:t>
      </w:r>
    </w:p>
    <w:p w:rsidR="005B3B2D" w:rsidRDefault="005B3B2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B3B2D" w:rsidRDefault="00861A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5B3B2D" w:rsidRDefault="00861A9F">
      <w:pPr>
        <w:tabs>
          <w:tab w:val="left" w:pos="52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мировой художественной культуре</w:t>
      </w: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среднее общее образование</w:t>
      </w:r>
    </w:p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11 класс</w:t>
      </w: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861A9F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часов: 35</w:t>
      </w:r>
    </w:p>
    <w:p w:rsidR="005B3B2D" w:rsidRDefault="00861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Составитель: учитель МХК Орехов Сергей Николаевич</w:t>
      </w: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МХК для 11 класса составлена на основе Основной образовательной программы </w:t>
      </w:r>
      <w:r w:rsidR="001825A0"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z w:val="24"/>
        </w:rPr>
        <w:t xml:space="preserve"> общего образования МБОУ УДСОШ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2, с использованием авторской программы. Программа по МХК для 11 классов общеобразовательных школ к учебнику Л.Г. </w:t>
      </w:r>
      <w:proofErr w:type="spellStart"/>
      <w:r>
        <w:rPr>
          <w:rFonts w:ascii="Times New Roman" w:eastAsia="Times New Roman" w:hAnsi="Times New Roman" w:cs="Times New Roman"/>
          <w:sz w:val="24"/>
        </w:rPr>
        <w:t>Емохоновой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«Мировая художественная культура» 11 класс.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цели курса: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и мотивированно организовывать свою познавательную деятельность;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устанавливать несложные реальные связи и зависимости;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оценивать, сопоставлять и классифицировать феномены культуры искусства;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осуществлять поиск нужной информации в источниках различного типа;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мультимедийные ресурсы и компьютерные технологии для оформления творческих работ;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ценность художественного образования как средства развития культуры личности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собственное отношение к произведениям классики и современного искусства;</w:t>
      </w:r>
    </w:p>
    <w:p w:rsidR="005B3B2D" w:rsidRDefault="00861A9F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обучения: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художественного вкуса;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чувств, эмоций, образно-ассоциативного мышления и художественно-творческих способностей.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I. Планируемые результаты учебного предмета "МХК" 11 класс.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МХК в средней школе дает возможность учащимся достичь следующих результатов: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 направлении личностного развития: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представление об искусстве, как о сфере человеческой деятельности, ее этапах, значимости для развития цивилизации;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креативность мышления, инициатива, находчивость, 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умение контролировать процесс и результат учебной и поисковой деятельности;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способность к эмоциональному восприятию художественных объектов и определять собственное отношение к произведениям классики и современного искусства.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направлении: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умение находить в различных источниках информацию, необходимую для решения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умение понимать и использовать средства наглядности для иллюстрации, интерпретации, аргументации;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умение применять индуктивные и дедуктивные способы рассуждений, видеть различные художественно-исторические эпохи, 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умение самостоятельно ставить цели, выбирать и использовать мультимедийные ресурсы и компьютерные технологии для оформления творческих работ;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       В предметном направлении: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предметным результатом изучения курса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следующих умений: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пользоваться языком искусствознания для описания предметов окружающего мира;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распознавать художественные элементы, различать их взаимное расположение;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распознавать на чертежах, моделях и репродукциях художественные стили.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 понимать ценность художественного образования как средства развития культуры личности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изучения предмета влияют на итоговые результаты обучения, которых должны достичь все учащиеся, оканчивающие 11 класс, что является обязательным условием положительной аттестации ученика за курс 11 класса</w:t>
      </w:r>
    </w:p>
    <w:p w:rsidR="005B3B2D" w:rsidRDefault="005B3B2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3B2D" w:rsidRDefault="00861A9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  «Содержание учебного предмета».</w:t>
      </w:r>
    </w:p>
    <w:p w:rsidR="005B3B2D" w:rsidRDefault="00861A9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ХУДОЖЕСТВЕННАЯ КУЛЬТУРА ЭПОХИ ВОЗРОЖДЕНИЯ (9 ЧАСОВ)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Возрождение в Италии (5 часов)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Гуманистическое видение мира как основа культуры Возрождения. Флоренция — воплощение ренессансной идеи «идеального» города в трактатах, архитектуре, живописи. Леон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Баттиста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Альберти. «Десять книг о зодчестве».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Филиппо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Брунеллески. Купол собора Санта-Мария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Фьоре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Приют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невинных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Площадь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Аннунциаты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Церковь Сан-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Спирито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Образ площади и улицы в живописи. Мазаччо. «Воскрешение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Товифы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исцеление расслабленного», «Раздача милостыни», «Исцеление тенью». Ренессансный реализм в скульптуре. Донателло. «Сплющенный» рельеф «Пир Ирода». Статуя Давида. Высокое Возрождение. Качественные изменения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живописи. Новая красота Леонардо да Винчи. Алтарный образ «Мадонна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цветком», «Джоконда» (портрет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Лизы). Синтез живописи и архитектуры. Рафаэль Санти. Росписи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делла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Сеньятура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Ватикане: «Парнас». Скульптура. Микеланджело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Буонарроти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Капелла Медичи в церкви Сан-Лоренцо во Флоренции. Особенности венецианской школы живописи. Эстетика позднего Возрождения. Тициан. «Любовь земная и небесная»,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Пье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та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Музыка эпохи Возрождения. Роль полифонии в развитии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светских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культовых музыкальных жанров. Переход от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«строгого письма» к мадригалу.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Джованни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Палестрина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«Месса папы Марчелло».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Карло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Джезуальдо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Мадригал «Томлюсь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без конца».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Северное Возрождение (4 часа)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Специфика Северного Возрождения. Гротескно-карнавальный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характер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Возрождения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Нидерландах. Питер Брейгель Старший (Мужицкий). «Битва Масленицы и Поста». Живописный цикл «Месяцы»: «Охотники на снегу». Мистический характер Возрождения в Германии. Альбрехт Дюрер. Гравюры «Апокалипсиса»: «Четыре всадника», «Трубный глас». Картина «Четыре апостола». Светский характер французского Ренессанса. Школа Фонтенбло в архитектуре и изобразительном искусстве. Замок Франциска I в Фонтенбло.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Россо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Фьорентино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Галерея Франциска I. Жан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Гужон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Фонтан нимф в Париже. Ренессанс в Англии. Драматургия Уильяма Шекспира: трагедия «Ромео и Джульетта», комедия «Укрощение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строптивой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».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ХУДОЖЕСТВЕННАЯ КУЛЬТУРА XVII ВЕКА (5 ЧАСОВ)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Барокко (4 часа)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Новое мировосприятие в эпоху барокко и его отражение в искусстве. Архитектурные ансамбли Рима. Лоренцо Бернини. Площадь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в. Петра. Площадь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Навона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Мост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в. Ангела. Новое оформление интерьера. Шатер-киворий в соборе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в. Петра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Риме. Специфика русского барокко.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Франческо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Бартоломео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Растрелли. Зимний дворец и Смольный монастырь в Петербурге. Екатерининский дворец в Царском Селе. Плафонная живопись барокко. Джованни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Баттиста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Гаули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Бачичча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). «Поклонение имени Иисуса» в церкви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Джезу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Риме. Взаимодействие тенденций барокко и реализма в живописи. Питер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Пауэл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Рубенс. Алтарные триптихи «Водружение креста» и «Снятие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креста» в соборе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-Дам в Антверпене. «Воспитание Марии Медичи». Рембрандт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Харменс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Рейн. «Отречение апостола Петра». Музыка барокко. Кл аудио Монтеверди. Опера «Орфей».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Арканджело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Concerto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grosso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«На рождественскую ночь». Иоганн Себастьян Бах.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Пассион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«Страсти по Матфею».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Классицизм (1 час)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«Большой королевский стиль» Людовика XIV в архитектуре. Версаль. Классицизм в изобразительном искусстве Франции. Никола Пуссен. «Царство Флоры», «Орфей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Эвридика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».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ХУДОЖЕСТВЕННАЯ КУЛЬТУРА XVIII — ПЕРВОЙ ПОЛОВИНЫ XIX ВЕКА (7 ЧАСОВ)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Рококо (1 час)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«Галантные празднества» Антуана Ватто. «Остров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Цитеры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». Интерьер рококо. Живописные пасторали Франсуа Буше. Музыкальные «багатели» Франсуа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Куперена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Неоклассицизм, ампир (5 часов)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Музыка Просвещения. Йозеф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Гайдн.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Сонатно-симфонический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цикл.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Симфония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85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«Королева». Вольфганг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Амадей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Моцарт. Опера «Дон Жуан».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Реквием: «День гнева»,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«Лакримоза». Людвиг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Бетховен. Пятая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симфония,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«Лунная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соната». Образ «идеального» города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классицистических ансамблях Парижа и Петербурга. Жак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Габриэль. Площадь Людовика XV в Париже.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Джакомо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Кваренги. Академия наук в Петербурге. Андрей Дмитриевич Захаров. Адмиралтейство в Петербурге. Скульптурный декор. Иван Иванович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Теребнев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«Выход России к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морю».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Имперский стиль в архитектуре. Специфика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русского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ампира. Карл Росси. Дворцовая площадь, Михайловский дворец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в Петербурге.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Ампирный интерьер. Белый зал Михайловского дворца в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Петербурге.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Неоклассицизм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живописи. Жак Луи Давид. «Клятва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рациев»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Классицистические каноны в русской академической живописи. Карл Павлович Брюллов. «Последний день Помпеи»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Александр Андреевич Иванов. «Явление Христа народу».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Зарождение классической музыкальной школы в России. Михаил Иванович Глинка. Художественные обобщения в оперном искусстве. Опера «Жизнь за царя». Необычные выразительные средства: марш Черномора, Персидский хор из оперы «Руслан и Людмила». Зарождение русского симфонизма: увертюра «Ночь в Мадриде». Новые черты в камерной вокальной музыке: лирический романс «Я помню чудное мгновенье».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Романтизм (1 час)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Романтический идеал и его воплощение в музыке. Франц Шуберт. Вокальный цикл «Зимний путь». Рихард Вагнер. Опера «Тангейзер». Гектор Берлиоз. «Фантастическая симфония».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Иоганнес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Брамс. «Венгерский танец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1». Живопись романтизма. Религиозные сюжеты и литературная тематика в живописи прерафаэлитов. Джон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Эверетт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Миллес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«Христос в доме своих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родителей».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Данте Габриэль Россетти.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Beata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Beatrix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». Экзотика и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мистика.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Эжен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Делакруа. «Смерть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Сарданапала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Францис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ко Гойя.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«Колосс». Образ романтического героя в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живописи. Орест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Адамович Кипренский. «Портрет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Евгр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В. Давыдова».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ХУДОЖЕСТВЕННАЯ КУЛЬТУРА ВТОРОЙ ПОЛОВИНЫ XIX — НАЧАЛА XX ВЕКА 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(7 ЧАСОВ)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Реализм (3 часа)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Социальная тематика в живописи. Гюстав Курбе.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«Похороны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Орнане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». Оноре Домье. Серия «Судьи и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адвокаты». Русская школа реализма.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Передвижники. Илья Ефимович Репин. «Бурлаки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на Волге».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Василий Иванович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Суриков.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«Боярыня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Морозова».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Направления в развитии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русской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музыки.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Социальная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тема в музыке.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Модест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Петрович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Мусоргский.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«Сиротка».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Обращение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русскому обряду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 проявление народности в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музыке.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Николай Андреевич Римский-Корсаков. «Проводы Масленицы» из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оперы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«Снегурочка». Историческая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музыке. Александр Порфирьевич Бородин. «Половецкие пляски» из оперы «Князь Игорь». Лирико-психологическое начало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музыке. Петр Ильич Чайковский. Балет «Щелкунчик». Тема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«человек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рок»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музыке.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Опера «Пиковая дама».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Импрессионизм, символизм, постимпрессионизм (2 часа)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Основные черты импрессионизма в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живописи.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Клод Оскар Моне.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«Сорока».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Пьер Огюст Ренуар.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«Завтрак гребцов».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Импрессионизм в скульптуре. Огюст Роден. «Граждане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Кале». Импрессионизм в музыке. Клод Дебюсси. «Сады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дождем», «Облака». Символизм в живописи. Гюстав Моро.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Саломея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 («Видение»). Постимпрессионизм. Поль Сезанн. «Купальщицы». Винсент Ван Гог. «Сеятель». Поль Гоген. «Пейзаж с павлином».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Модерн (2 часа)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Воплощение идеи абсолютной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красоты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искусстве модерна. Густав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Климт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«Бетховенский фриз». Модерн в архитектуре. Виктор Орта. Особняк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Тасселя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Брюсселе. Федор Осипович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Шехтель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Здание Ярославского вокзала в Москве. Антонио Гауди.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Собор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в. Семейства в Барселоне. Мифотворчество — характерная черта русского модерна в живописи. Валентин Александрович Серов. «Одиссей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Навзикая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», «Похищение Европы».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5B3B2D" w:rsidRDefault="005B3B2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ХУДОЖЕСТВЕННАЯ КУЛЬТУРА XX ВЕКА (6 ЧАСОВ)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Модернизм (5 часов)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Модернизм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живописи. Новое видение красоты. Агрессия цвета в фовизме. Анри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Матисс.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«Танец». Вибрация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живописной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поверхности в экспрессионизме. Арнольд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Шёнберг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«Красный взгляд». Деформация форм в кубизме. Пабло Пикассо.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Авиньонские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девицы»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Отказ от изобразительности в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абстрак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ционизме. Василий Васильевич Кандинский. «Композиция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8». Иррационализм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подсознательного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сюрреализме. Сальвадор Дали. «Тристан и Изольда». Модернизм в архитектуре. Конструктивизм Шарля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Эдуара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Корбюзье. Вилла Савой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Пуасси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«Советский конструктивизм» Владимира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Евграфовича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Татлина. Башня III Интернационала. Органическая архитектура Фрэнка Ллойда Райта. «Дом над водопадом»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-Ране. Функционализм Оскара Нимейера. Ансамбль города Бразилия. Модернизм в музыке. Стилистическая разнородность музыки XX века. Додекафония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нововенской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школы». Антон фон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Веберн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«Свет глаз». «Новая простота» Сергея Сергеевича Прокофьева. Балет « Ромео и Джульетта». Философская музыка Дмитрия Дмитриевича Шостаковича. Седьмая симфония (Ленинградская).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Полистилистика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Альфреда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Гарриевича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Шнитке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Реквием.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Синтез в искусстве XX века. Режиссерский театр Константина Сергеевича Станиславского и Владимира Ивановича Немировича-Данченко. Московский Художественный театр. Спектакль по пьесе Антона Павловича Чехова «Три сестры». Эпический театр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Бертольта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Брехта. «Добрый человек из Сычуани». Кинематограф. Сергей Михайлович Эйзенштейн. «Броненосец "Потемкин"». Федерико Феллини. «Репетиция оркестра».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Постмодернизм (1 час)</w:t>
      </w:r>
    </w:p>
    <w:p w:rsidR="005B3B2D" w:rsidRDefault="00861A9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Постмодернистское мировосприятие — возвращение к мифологическим истокам. Новые виды искусства и формы синтеза. Энди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Уорхол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«Прижмите крышку перед открыванием». Фернандо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Ботеро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Лиза». Георгий Пузенков. «Башня времени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500». Сальвадор Дали. Зал Мей Уэст в Театре-музее Дали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Фигерасе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Юрий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Лейдерман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Перформанс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Хасидский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Дюшан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5B3B2D" w:rsidRDefault="005B3B2D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B2D" w:rsidRDefault="00861A9F">
      <w:pPr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III.  Тематическое планирование учебного предмета "МХК" 11 класс.</w:t>
      </w:r>
    </w:p>
    <w:p w:rsidR="005B3B2D" w:rsidRDefault="00861A9F">
      <w:pPr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1час в неделю. Всего 35 часа.</w:t>
      </w:r>
    </w:p>
    <w:p w:rsidR="005B3B2D" w:rsidRDefault="005B3B2D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5088"/>
        <w:gridCol w:w="1525"/>
        <w:gridCol w:w="1699"/>
      </w:tblGrid>
      <w:tr w:rsidR="005B3B2D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прохождения</w:t>
            </w:r>
          </w:p>
        </w:tc>
      </w:tr>
      <w:tr w:rsidR="005B3B2D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Художественная культура эпохи Возрождения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1.09-17.11.</w:t>
            </w:r>
          </w:p>
        </w:tc>
      </w:tr>
      <w:tr w:rsidR="005B3B2D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Художественная культура XVII века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24.11.-15.12</w:t>
            </w:r>
          </w:p>
        </w:tc>
      </w:tr>
      <w:tr w:rsidR="005B3B2D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Художественная культура XVIII —первой половины XIX века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22.12-9.02</w:t>
            </w:r>
          </w:p>
        </w:tc>
      </w:tr>
      <w:tr w:rsidR="005B3B2D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Художественная культура второй половины  XIX —начала XX века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16.02-6.04.</w:t>
            </w:r>
          </w:p>
        </w:tc>
      </w:tr>
      <w:tr w:rsidR="005B3B2D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Художественная культура XX века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13.04-25.05.</w:t>
            </w:r>
          </w:p>
        </w:tc>
      </w:tr>
      <w:tr w:rsidR="005B3B2D">
        <w:trPr>
          <w:gridAfter w:val="1"/>
          <w:wAfter w:w="1701" w:type="dxa"/>
          <w:trHeight w:val="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</w:tr>
    </w:tbl>
    <w:p w:rsidR="005B3B2D" w:rsidRDefault="005B3B2D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B2D" w:rsidRDefault="005B3B2D">
      <w:pPr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861A9F">
      <w:pPr>
        <w:spacing w:after="0"/>
        <w:ind w:right="-567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календарному учебному графику и расписанию уроков на 2020-2021 учебный год программа составлена на 35 часа. Учебный материал изучается в полном объёме.</w:t>
      </w:r>
    </w:p>
    <w:p w:rsidR="005B3B2D" w:rsidRDefault="005B3B2D">
      <w:pPr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5B3B2D">
      <w:pPr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5B3B2D">
      <w:pPr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5B3B2D">
      <w:pPr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5B3B2D">
      <w:pPr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5B3B2D">
      <w:pPr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5B3B2D">
      <w:pPr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5B3B2D">
      <w:pPr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 КАЛЕНДАРНО-ТЕМАТИЧЕСКОЕ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235"/>
        <w:gridCol w:w="1020"/>
        <w:gridCol w:w="1401"/>
      </w:tblGrid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B3B2D" w:rsidRDefault="00861A9F">
            <w:pPr>
              <w:spacing w:after="0" w:line="240" w:lineRule="auto"/>
              <w:ind w:hanging="28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</w:t>
            </w:r>
          </w:p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1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right="-1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Гуманизм — основа мировоззрения эпохи Возрождения.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1.09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 площади и улицы в живописи.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8.09</w:t>
            </w:r>
          </w:p>
        </w:tc>
      </w:tr>
      <w:tr w:rsidR="005B3B2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5B3B2D" w:rsidRDefault="00861A9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Высокое Возрождение: «Леонардо да Винчи»</w:t>
            </w:r>
          </w:p>
          <w:p w:rsidR="005B3B2D" w:rsidRDefault="0086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«Микеланджело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Буонарроти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«Рафаэль Санти».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15.09</w:t>
            </w:r>
          </w:p>
        </w:tc>
      </w:tr>
      <w:tr w:rsidR="005B3B2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5B3B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5B3B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5B3B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22.09</w:t>
            </w:r>
          </w:p>
        </w:tc>
      </w:tr>
      <w:tr w:rsidR="005B3B2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5B3B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5B3B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5B3B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29.09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Эстетика Высокого Возрождения в скульптуре.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6.10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Венецианская школа живописи.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13.10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Северного Возрождения.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20.10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Мистический характер Возрождения в Германии.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3.11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right="-1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Светский характер Возрождения во Франции.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Ренессанс в Англии. Драматургия.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17.11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Новое мировосприятие в эпоху барокко   и его отражение в искусстве.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Специфика русского барокко.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Живопись барокко. Плафонная живопись..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8.12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барокко.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15.12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«идеального» города в классицистических ансамблях Парижа и Петербурга.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Имперский стиль в архитектуре. Специфика русского ампира.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/К.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Ампир в архитектуре Ростова на Дону.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29.12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Просвещения.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12.01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классицизма. «Большой королевский стиль»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19.01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Истоки рококо в живописи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26.01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Неоклассицизм в живописи.                                                                                                                       Классицистические каноны в русской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живописи.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2.02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Зарождение классической музыкальной школы в России.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9.02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5B3B2D" w:rsidRDefault="005B3B2D">
            <w:pPr>
              <w:spacing w:after="0" w:line="240" w:lineRule="auto"/>
              <w:ind w:hanging="284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Романтический идеал и его воплощение в музыке.</w:t>
            </w:r>
          </w:p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Живопись романтизма. Религиозные сюжеты.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B3B2D" w:rsidRDefault="005B3B2D">
            <w:pPr>
              <w:spacing w:after="0" w:line="240" w:lineRule="auto"/>
              <w:ind w:hanging="215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16.02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тематика в живописи. Русская школа реализма. Передвижники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2.03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Направления в развитии русской музыки. Социальная тема в музыке.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/К. Песенная культура на Дону.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9.03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черты импрессионизма в живописи. Импрессионизм в скульптуре и в музыке.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16.03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Символизм в живописи. Постимпрессионизм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30.03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Воплощение идеи абсолютной красоты в искусстве модерна. Модерн в архитектуре.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6.04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right="-10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Мифотворчество-характерная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черта русского модерна в живописи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13.04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Модернизм в живописи. Новое видение красоты.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Модернизм в архитектуре. Конструктивизм. Советский конструктивизм.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/К. Театр им. М. Горького советский конструктивизм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148"/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Синтез в искусстве XX века. Режиссерский театр.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1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4.05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Кинематограф.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1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Постмодернизм.  Новые виды массового искусства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1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</w:tr>
      <w:tr w:rsidR="005B3B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1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</w:tr>
    </w:tbl>
    <w:p w:rsidR="00273BC8" w:rsidRPr="000B03C3" w:rsidRDefault="00273BC8" w:rsidP="00273BC8">
      <w:pPr>
        <w:pStyle w:val="Standard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B03C3">
        <w:rPr>
          <w:rFonts w:ascii="Times New Roman" w:hAnsi="Times New Roman" w:cs="Times New Roman"/>
          <w:sz w:val="24"/>
          <w:szCs w:val="24"/>
          <w:lang w:eastAsia="en-US"/>
        </w:rPr>
        <w:t>Согласно календарного учебного графика МБОУ УДСОШ № 2 на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0B03C3">
        <w:rPr>
          <w:rFonts w:ascii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0B03C3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 данная рабочая программа реализуется в полном объёме.</w:t>
      </w:r>
    </w:p>
    <w:p w:rsidR="00273BC8" w:rsidRPr="000B03C3" w:rsidRDefault="00273BC8" w:rsidP="00273BC8">
      <w:pPr>
        <w:pStyle w:val="Standard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73BC8" w:rsidRPr="000B03C3" w:rsidRDefault="00273BC8" w:rsidP="00273BC8">
      <w:pPr>
        <w:pStyle w:val="Standard"/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  <w:lang w:eastAsia="en-US"/>
        </w:rPr>
      </w:pPr>
    </w:p>
    <w:tbl>
      <w:tblPr>
        <w:tblW w:w="8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469"/>
      </w:tblGrid>
      <w:tr w:rsidR="00273BC8" w:rsidRPr="000B03C3" w:rsidTr="001825A0">
        <w:trPr>
          <w:trHeight w:val="80"/>
          <w:jc w:val="center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11748E" w:rsidRDefault="00273BC8" w:rsidP="00263C8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03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СОГЛАСОВАНО</w:t>
            </w:r>
          </w:p>
          <w:p w:rsidR="00273BC8" w:rsidRPr="000B03C3" w:rsidRDefault="00273BC8" w:rsidP="00263C8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03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Протокол заседания МС</w:t>
            </w:r>
          </w:p>
          <w:p w:rsidR="00273BC8" w:rsidRPr="000B03C3" w:rsidRDefault="00273BC8" w:rsidP="00263C8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End"/>
            <w:r w:rsidRPr="000B03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МБОУ УДСОШ № 2</w:t>
            </w:r>
          </w:p>
          <w:p w:rsidR="00273BC8" w:rsidRPr="000B03C3" w:rsidRDefault="00273BC8" w:rsidP="00263C8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«__» _________20 __г. </w:t>
            </w:r>
            <w:r w:rsidRPr="000B03C3">
              <w:rPr>
                <w:rFonts w:ascii="Times New Roman" w:eastAsia="Times New Roman" w:hAnsi="Times New Roman" w:cs="Times New Roman"/>
                <w:sz w:val="24"/>
                <w:szCs w:val="24"/>
              </w:rPr>
              <w:t>№__</w:t>
            </w:r>
          </w:p>
          <w:p w:rsidR="00273BC8" w:rsidRPr="000B03C3" w:rsidRDefault="00273BC8" w:rsidP="00263C8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C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273BC8" w:rsidRPr="000B03C3" w:rsidRDefault="00273BC8" w:rsidP="00263C8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</w:t>
            </w:r>
            <w:proofErr w:type="spellStart"/>
            <w:r w:rsidRPr="000B03C3"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Янченкова</w:t>
            </w:r>
            <w:proofErr w:type="spellEnd"/>
            <w:r w:rsidRPr="000B0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Standard"/>
              <w:widowControl w:val="0"/>
              <w:tabs>
                <w:tab w:val="left" w:pos="6219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03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СОГЛАСОВАНО</w:t>
            </w:r>
          </w:p>
          <w:p w:rsidR="00273BC8" w:rsidRPr="000B03C3" w:rsidRDefault="00273BC8" w:rsidP="00263C8E">
            <w:pPr>
              <w:pStyle w:val="Standard"/>
              <w:widowControl w:val="0"/>
              <w:tabs>
                <w:tab w:val="left" w:pos="593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  <w:p w:rsidR="00273BC8" w:rsidRPr="000B03C3" w:rsidRDefault="00273BC8" w:rsidP="00263C8E">
            <w:pPr>
              <w:pStyle w:val="Standard"/>
              <w:widowControl w:val="0"/>
              <w:tabs>
                <w:tab w:val="left" w:pos="6219"/>
              </w:tabs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03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директора по УВР</w:t>
            </w:r>
          </w:p>
          <w:p w:rsidR="00273BC8" w:rsidRPr="000B03C3" w:rsidRDefault="00273BC8" w:rsidP="00263C8E">
            <w:pPr>
              <w:pStyle w:val="Standard"/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73BC8" w:rsidRPr="000B03C3" w:rsidRDefault="00273BC8" w:rsidP="00263C8E">
            <w:pPr>
              <w:pStyle w:val="Standard"/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03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Слещенко И.В</w:t>
            </w:r>
            <w:r w:rsidRPr="000B03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73BC8" w:rsidRPr="000B03C3" w:rsidRDefault="00273BC8" w:rsidP="00263C8E">
            <w:pPr>
              <w:pStyle w:val="Standard"/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C3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«__»___________20__г.</w:t>
            </w:r>
          </w:p>
          <w:p w:rsidR="00273BC8" w:rsidRPr="000B03C3" w:rsidRDefault="00273BC8" w:rsidP="00263C8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BC8" w:rsidRDefault="00273BC8" w:rsidP="00273BC8">
      <w:pPr>
        <w:pStyle w:val="Standard"/>
        <w:tabs>
          <w:tab w:val="center" w:pos="4677"/>
          <w:tab w:val="left" w:pos="6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C3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273BC8" w:rsidRPr="000B03C3" w:rsidRDefault="00273BC8" w:rsidP="00273BC8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3434"/>
        <w:gridCol w:w="2596"/>
      </w:tblGrid>
      <w:tr w:rsidR="00273BC8" w:rsidRPr="000B03C3" w:rsidTr="00263C8E">
        <w:trPr>
          <w:trHeight w:val="1051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03C3">
              <w:rPr>
                <w:b/>
                <w:sz w:val="24"/>
                <w:szCs w:val="24"/>
              </w:rPr>
              <w:t xml:space="preserve">№ приказа директора </w:t>
            </w:r>
            <w:proofErr w:type="gramStart"/>
            <w:r w:rsidRPr="000B03C3">
              <w:rPr>
                <w:b/>
                <w:sz w:val="24"/>
                <w:szCs w:val="24"/>
              </w:rPr>
              <w:t>школы</w:t>
            </w:r>
            <w:proofErr w:type="gramEnd"/>
            <w:r w:rsidRPr="000B03C3">
              <w:rPr>
                <w:b/>
                <w:sz w:val="24"/>
                <w:szCs w:val="24"/>
              </w:rPr>
              <w:t xml:space="preserve"> на основе которого внесены изменения в рабочую программу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03C3">
              <w:rPr>
                <w:b/>
                <w:sz w:val="24"/>
                <w:szCs w:val="24"/>
              </w:rPr>
              <w:t>Вид коррекции (совмещение, использование резерва)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03C3">
              <w:rPr>
                <w:b/>
                <w:sz w:val="24"/>
                <w:szCs w:val="24"/>
              </w:rPr>
              <w:t>Номера и темы уроков, которые подверглись корректировке</w:t>
            </w: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273BC8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BC8" w:rsidRPr="000B03C3" w:rsidRDefault="00273BC8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  <w:tr w:rsidR="001825A0" w:rsidRPr="000B03C3" w:rsidTr="00263C8E">
        <w:trPr>
          <w:trHeight w:val="256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A0" w:rsidRPr="000B03C3" w:rsidRDefault="001825A0" w:rsidP="00263C8E">
            <w:pPr>
              <w:pStyle w:val="a3"/>
              <w:rPr>
                <w:sz w:val="24"/>
                <w:szCs w:val="24"/>
              </w:rPr>
            </w:pPr>
          </w:p>
        </w:tc>
      </w:tr>
    </w:tbl>
    <w:p w:rsidR="005B3B2D" w:rsidRDefault="005B3B2D" w:rsidP="00273B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sectPr w:rsidR="005B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37A"/>
    <w:multiLevelType w:val="multilevel"/>
    <w:tmpl w:val="C93EE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40ABE"/>
    <w:multiLevelType w:val="multilevel"/>
    <w:tmpl w:val="7E0E7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61F97"/>
    <w:multiLevelType w:val="multilevel"/>
    <w:tmpl w:val="11DC6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60BF0"/>
    <w:multiLevelType w:val="multilevel"/>
    <w:tmpl w:val="31086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F0F0B"/>
    <w:multiLevelType w:val="multilevel"/>
    <w:tmpl w:val="94CE0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B294B"/>
    <w:multiLevelType w:val="multilevel"/>
    <w:tmpl w:val="B4CC7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44C44"/>
    <w:multiLevelType w:val="multilevel"/>
    <w:tmpl w:val="48228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A2F2B"/>
    <w:multiLevelType w:val="multilevel"/>
    <w:tmpl w:val="76AC0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74E3A"/>
    <w:multiLevelType w:val="multilevel"/>
    <w:tmpl w:val="B2FE7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CA2F89"/>
    <w:multiLevelType w:val="multilevel"/>
    <w:tmpl w:val="BD2CD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FD1349"/>
    <w:multiLevelType w:val="multilevel"/>
    <w:tmpl w:val="F5209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34A21"/>
    <w:multiLevelType w:val="multilevel"/>
    <w:tmpl w:val="18828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970E30"/>
    <w:multiLevelType w:val="multilevel"/>
    <w:tmpl w:val="DA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B908E4"/>
    <w:multiLevelType w:val="multilevel"/>
    <w:tmpl w:val="79CAA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C85E02"/>
    <w:multiLevelType w:val="multilevel"/>
    <w:tmpl w:val="8C446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2648C8"/>
    <w:multiLevelType w:val="multilevel"/>
    <w:tmpl w:val="DE2E3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E217D4"/>
    <w:multiLevelType w:val="multilevel"/>
    <w:tmpl w:val="96FA7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9C5EEC"/>
    <w:multiLevelType w:val="multilevel"/>
    <w:tmpl w:val="7D768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4E54E2"/>
    <w:multiLevelType w:val="multilevel"/>
    <w:tmpl w:val="4B045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C35088"/>
    <w:multiLevelType w:val="multilevel"/>
    <w:tmpl w:val="7CE86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804DAF"/>
    <w:multiLevelType w:val="multilevel"/>
    <w:tmpl w:val="108C3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3C2B6E"/>
    <w:multiLevelType w:val="multilevel"/>
    <w:tmpl w:val="B6101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E1274"/>
    <w:multiLevelType w:val="multilevel"/>
    <w:tmpl w:val="505C7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9404AF"/>
    <w:multiLevelType w:val="multilevel"/>
    <w:tmpl w:val="A4DE7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9B4677"/>
    <w:multiLevelType w:val="multilevel"/>
    <w:tmpl w:val="2D603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4"/>
  </w:num>
  <w:num w:numId="5">
    <w:abstractNumId w:val="3"/>
  </w:num>
  <w:num w:numId="6">
    <w:abstractNumId w:val="7"/>
  </w:num>
  <w:num w:numId="7">
    <w:abstractNumId w:val="21"/>
  </w:num>
  <w:num w:numId="8">
    <w:abstractNumId w:val="8"/>
  </w:num>
  <w:num w:numId="9">
    <w:abstractNumId w:val="2"/>
  </w:num>
  <w:num w:numId="10">
    <w:abstractNumId w:val="9"/>
  </w:num>
  <w:num w:numId="11">
    <w:abstractNumId w:val="23"/>
  </w:num>
  <w:num w:numId="12">
    <w:abstractNumId w:val="16"/>
  </w:num>
  <w:num w:numId="13">
    <w:abstractNumId w:val="17"/>
  </w:num>
  <w:num w:numId="14">
    <w:abstractNumId w:val="18"/>
  </w:num>
  <w:num w:numId="15">
    <w:abstractNumId w:val="4"/>
  </w:num>
  <w:num w:numId="16">
    <w:abstractNumId w:val="22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  <w:num w:numId="22">
    <w:abstractNumId w:val="1"/>
  </w:num>
  <w:num w:numId="23">
    <w:abstractNumId w:val="20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B2D"/>
    <w:rsid w:val="001825A0"/>
    <w:rsid w:val="00273BC8"/>
    <w:rsid w:val="005B3B2D"/>
    <w:rsid w:val="008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3BC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273B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6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2021-02-23T17:22:00Z</cp:lastPrinted>
  <dcterms:created xsi:type="dcterms:W3CDTF">2021-02-19T19:00:00Z</dcterms:created>
  <dcterms:modified xsi:type="dcterms:W3CDTF">2021-02-23T17:22:00Z</dcterms:modified>
</cp:coreProperties>
</file>